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DE0" w:rsidRDefault="000C4DE0">
      <w:pPr>
        <w:pStyle w:val="Title"/>
        <w:ind w:left="3060" w:right="3060" w:firstLine="2"/>
      </w:pPr>
      <w:r>
        <w:t xml:space="preserve">Axiom Share Broking </w:t>
      </w:r>
      <w:proofErr w:type="spellStart"/>
      <w:r>
        <w:t>Pvt</w:t>
      </w:r>
      <w:proofErr w:type="spellEnd"/>
      <w:r>
        <w:t xml:space="preserve"> Ltd</w:t>
      </w:r>
    </w:p>
    <w:p w:rsidR="00565B19" w:rsidRDefault="00252C0A">
      <w:pPr>
        <w:pStyle w:val="Title"/>
        <w:ind w:left="3060" w:right="3060" w:firstLine="2"/>
        <w:rPr>
          <w:u w:val="none"/>
        </w:rPr>
      </w:pPr>
      <w:r>
        <w:rPr>
          <w:u w:val="none"/>
        </w:rPr>
        <w:t xml:space="preserve"> </w:t>
      </w:r>
      <w:r>
        <w:t>CLIENT</w:t>
      </w:r>
      <w:r>
        <w:rPr>
          <w:spacing w:val="-2"/>
        </w:rPr>
        <w:t xml:space="preserve"> </w:t>
      </w:r>
      <w:r>
        <w:t>RISK</w:t>
      </w:r>
      <w:r>
        <w:rPr>
          <w:spacing w:val="-6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rPr>
          <w:spacing w:val="-2"/>
        </w:rPr>
        <w:t>POLICY</w:t>
      </w:r>
    </w:p>
    <w:p w:rsidR="00565B19" w:rsidRDefault="00252C0A">
      <w:pPr>
        <w:pStyle w:val="Title"/>
        <w:rPr>
          <w:u w:val="none"/>
        </w:rPr>
      </w:pPr>
      <w:r>
        <w:t>Version</w:t>
      </w:r>
      <w:r>
        <w:rPr>
          <w:spacing w:val="-5"/>
        </w:rPr>
        <w:t xml:space="preserve"> 4.0</w:t>
      </w:r>
    </w:p>
    <w:p w:rsidR="00565B19" w:rsidRDefault="00252C0A">
      <w:pPr>
        <w:pStyle w:val="BodyText"/>
        <w:spacing w:before="266" w:line="267" w:lineRule="exact"/>
      </w:pPr>
      <w:r>
        <w:rPr>
          <w:spacing w:val="-2"/>
          <w:u w:val="single"/>
        </w:rPr>
        <w:t>Background</w:t>
      </w:r>
    </w:p>
    <w:p w:rsidR="00565B19" w:rsidRDefault="00252C0A">
      <w:pPr>
        <w:pStyle w:val="BodyText"/>
        <w:spacing w:line="267" w:lineRule="exact"/>
      </w:pPr>
      <w:r>
        <w:t>This</w:t>
      </w:r>
      <w:r>
        <w:rPr>
          <w:spacing w:val="-2"/>
        </w:rPr>
        <w:t xml:space="preserve"> </w:t>
      </w:r>
      <w:r>
        <w:t>Client</w:t>
      </w:r>
      <w:r>
        <w:rPr>
          <w:spacing w:val="-4"/>
        </w:rPr>
        <w:t xml:space="preserve"> </w:t>
      </w:r>
      <w:r>
        <w:t>Risk</w:t>
      </w:r>
      <w:r>
        <w:rPr>
          <w:spacing w:val="-4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Policy</w:t>
      </w:r>
      <w:r>
        <w:rPr>
          <w:spacing w:val="-4"/>
        </w:rPr>
        <w:t xml:space="preserve"> </w:t>
      </w:r>
      <w:r>
        <w:t>(CRMP)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issued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meet</w:t>
      </w:r>
      <w:r>
        <w:rPr>
          <w:spacing w:val="-2"/>
        </w:rPr>
        <w:t xml:space="preserve"> </w:t>
      </w:r>
      <w:r>
        <w:t>inter</w:t>
      </w:r>
      <w:r>
        <w:rPr>
          <w:spacing w:val="-3"/>
        </w:rPr>
        <w:t xml:space="preserve"> </w:t>
      </w:r>
      <w:r>
        <w:rPr>
          <w:spacing w:val="-4"/>
        </w:rPr>
        <w:t>alia</w:t>
      </w:r>
    </w:p>
    <w:p w:rsidR="00565B19" w:rsidRDefault="00252C0A">
      <w:pPr>
        <w:pStyle w:val="ListParagraph"/>
        <w:numPr>
          <w:ilvl w:val="0"/>
          <w:numId w:val="3"/>
        </w:numPr>
        <w:tabs>
          <w:tab w:val="left" w:pos="719"/>
        </w:tabs>
        <w:ind w:left="719" w:hanging="359"/>
      </w:pPr>
      <w:r>
        <w:t>Directions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Securities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Exchange</w:t>
      </w:r>
      <w:r>
        <w:rPr>
          <w:spacing w:val="-2"/>
        </w:rPr>
        <w:t xml:space="preserve"> </w:t>
      </w:r>
      <w:r>
        <w:t>Board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India</w:t>
      </w:r>
      <w:r>
        <w:rPr>
          <w:spacing w:val="-1"/>
        </w:rPr>
        <w:t xml:space="preserve"> </w:t>
      </w:r>
      <w:r>
        <w:rPr>
          <w:spacing w:val="-2"/>
        </w:rPr>
        <w:t>(SEBI)</w:t>
      </w:r>
    </w:p>
    <w:p w:rsidR="00565B19" w:rsidRDefault="00252C0A">
      <w:pPr>
        <w:pStyle w:val="ListParagraph"/>
        <w:numPr>
          <w:ilvl w:val="0"/>
          <w:numId w:val="3"/>
        </w:numPr>
        <w:tabs>
          <w:tab w:val="left" w:pos="719"/>
        </w:tabs>
        <w:spacing w:before="1"/>
        <w:ind w:left="719" w:hanging="359"/>
      </w:pPr>
      <w:r>
        <w:t>Directions</w:t>
      </w:r>
      <w:r>
        <w:rPr>
          <w:spacing w:val="-4"/>
        </w:rPr>
        <w:t xml:space="preserve"> </w:t>
      </w:r>
      <w:r>
        <w:t>issued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Market</w:t>
      </w:r>
      <w:r>
        <w:rPr>
          <w:spacing w:val="-4"/>
        </w:rPr>
        <w:t xml:space="preserve"> </w:t>
      </w:r>
      <w:r>
        <w:t>Infrastructure</w:t>
      </w:r>
      <w:r>
        <w:rPr>
          <w:spacing w:val="-3"/>
        </w:rPr>
        <w:t xml:space="preserve"> </w:t>
      </w:r>
      <w:r>
        <w:t>Institutions</w:t>
      </w:r>
      <w:r>
        <w:rPr>
          <w:spacing w:val="-6"/>
        </w:rPr>
        <w:t xml:space="preserve"> </w:t>
      </w:r>
      <w:r>
        <w:rPr>
          <w:spacing w:val="-2"/>
        </w:rPr>
        <w:t>(MIIs)</w:t>
      </w:r>
    </w:p>
    <w:p w:rsidR="00565B19" w:rsidRDefault="00252C0A">
      <w:pPr>
        <w:pStyle w:val="ListParagraph"/>
        <w:numPr>
          <w:ilvl w:val="0"/>
          <w:numId w:val="3"/>
        </w:numPr>
        <w:tabs>
          <w:tab w:val="left" w:pos="719"/>
        </w:tabs>
        <w:ind w:left="719" w:hanging="359"/>
      </w:pPr>
      <w:r>
        <w:t>Internal</w:t>
      </w:r>
      <w:r>
        <w:rPr>
          <w:spacing w:val="-2"/>
        </w:rPr>
        <w:t xml:space="preserve"> </w:t>
      </w:r>
      <w:r>
        <w:t>good</w:t>
      </w:r>
      <w:r>
        <w:rPr>
          <w:spacing w:val="-2"/>
        </w:rPr>
        <w:t xml:space="preserve"> practices.</w:t>
      </w:r>
    </w:p>
    <w:p w:rsidR="00565B19" w:rsidRDefault="00565B19">
      <w:pPr>
        <w:pStyle w:val="BodyText"/>
      </w:pPr>
    </w:p>
    <w:p w:rsidR="00565B19" w:rsidRDefault="000C4DE0">
      <w:pPr>
        <w:pStyle w:val="BodyText"/>
        <w:ind w:right="4"/>
        <w:jc w:val="both"/>
      </w:pPr>
      <w:r>
        <w:t xml:space="preserve">Axiom Share Broking </w:t>
      </w:r>
      <w:proofErr w:type="spellStart"/>
      <w:r>
        <w:t>Pvt</w:t>
      </w:r>
      <w:proofErr w:type="spellEnd"/>
      <w:r>
        <w:t xml:space="preserve"> </w:t>
      </w:r>
      <w:proofErr w:type="gramStart"/>
      <w:r>
        <w:t>Ltd</w:t>
      </w:r>
      <w:r w:rsidR="00252C0A">
        <w:t>(</w:t>
      </w:r>
      <w:proofErr w:type="gramEnd"/>
      <w:r>
        <w:t>ASPL</w:t>
      </w:r>
      <w:r w:rsidR="00252C0A">
        <w:t>) is a</w:t>
      </w:r>
      <w:r w:rsidR="00252C0A">
        <w:rPr>
          <w:spacing w:val="-4"/>
        </w:rPr>
        <w:t xml:space="preserve"> </w:t>
      </w:r>
      <w:r w:rsidR="00252C0A">
        <w:t>member</w:t>
      </w:r>
      <w:r w:rsidR="00252C0A">
        <w:rPr>
          <w:spacing w:val="-2"/>
        </w:rPr>
        <w:t xml:space="preserve"> </w:t>
      </w:r>
      <w:r w:rsidR="00252C0A">
        <w:t>of the BSE Limited</w:t>
      </w:r>
      <w:r w:rsidR="00252C0A">
        <w:rPr>
          <w:spacing w:val="-2"/>
        </w:rPr>
        <w:t xml:space="preserve"> </w:t>
      </w:r>
      <w:r w:rsidR="00252C0A">
        <w:t>(BSE) and</w:t>
      </w:r>
      <w:r w:rsidR="00252C0A">
        <w:rPr>
          <w:spacing w:val="-1"/>
        </w:rPr>
        <w:t xml:space="preserve"> </w:t>
      </w:r>
      <w:r w:rsidR="00252C0A">
        <w:t>National Stock</w:t>
      </w:r>
      <w:r w:rsidR="00252C0A">
        <w:rPr>
          <w:spacing w:val="-2"/>
        </w:rPr>
        <w:t xml:space="preserve"> </w:t>
      </w:r>
      <w:r w:rsidR="00252C0A">
        <w:t xml:space="preserve">Exchange of India Limited (NSE) and is registered with SEBI as a stockbroker with SEBI </w:t>
      </w:r>
      <w:r>
        <w:t>Registration Number INZ000232</w:t>
      </w:r>
      <w:r w:rsidR="003C35EE">
        <w:t>73</w:t>
      </w:r>
      <w:bookmarkStart w:id="0" w:name="_GoBack"/>
      <w:bookmarkEnd w:id="0"/>
      <w:r>
        <w:t>1</w:t>
      </w:r>
      <w:r w:rsidR="00252C0A">
        <w:rPr>
          <w:spacing w:val="-11"/>
        </w:rPr>
        <w:t xml:space="preserve"> </w:t>
      </w:r>
      <w:r>
        <w:t>ASPL</w:t>
      </w:r>
      <w:r w:rsidR="00252C0A">
        <w:rPr>
          <w:spacing w:val="-8"/>
        </w:rPr>
        <w:t xml:space="preserve"> </w:t>
      </w:r>
      <w:r w:rsidR="00252C0A">
        <w:t>is</w:t>
      </w:r>
      <w:r w:rsidR="00252C0A">
        <w:rPr>
          <w:spacing w:val="-12"/>
        </w:rPr>
        <w:t xml:space="preserve"> </w:t>
      </w:r>
      <w:r w:rsidR="00252C0A">
        <w:t>currently</w:t>
      </w:r>
      <w:r w:rsidR="00252C0A">
        <w:rPr>
          <w:spacing w:val="-10"/>
        </w:rPr>
        <w:t xml:space="preserve"> </w:t>
      </w:r>
      <w:r w:rsidR="00252C0A">
        <w:t>active</w:t>
      </w:r>
      <w:r w:rsidR="00252C0A">
        <w:rPr>
          <w:spacing w:val="-11"/>
        </w:rPr>
        <w:t xml:space="preserve"> </w:t>
      </w:r>
      <w:r w:rsidR="00252C0A">
        <w:t>in</w:t>
      </w:r>
      <w:r w:rsidR="00252C0A">
        <w:rPr>
          <w:spacing w:val="-9"/>
        </w:rPr>
        <w:t xml:space="preserve"> </w:t>
      </w:r>
      <w:r w:rsidR="00252C0A">
        <w:t>the</w:t>
      </w:r>
      <w:r w:rsidR="00252C0A">
        <w:rPr>
          <w:spacing w:val="-9"/>
        </w:rPr>
        <w:t xml:space="preserve"> </w:t>
      </w:r>
      <w:r w:rsidR="00252C0A">
        <w:t>Cash</w:t>
      </w:r>
      <w:r w:rsidR="00252C0A">
        <w:rPr>
          <w:spacing w:val="-10"/>
        </w:rPr>
        <w:t xml:space="preserve"> </w:t>
      </w:r>
      <w:r w:rsidR="00252C0A">
        <w:t>Market</w:t>
      </w:r>
      <w:r w:rsidR="00252C0A">
        <w:rPr>
          <w:spacing w:val="-9"/>
        </w:rPr>
        <w:t xml:space="preserve"> </w:t>
      </w:r>
      <w:r w:rsidR="00252C0A">
        <w:t>and</w:t>
      </w:r>
      <w:r w:rsidR="00252C0A">
        <w:rPr>
          <w:spacing w:val="-10"/>
        </w:rPr>
        <w:t xml:space="preserve"> </w:t>
      </w:r>
      <w:r w:rsidR="00252C0A">
        <w:t>the</w:t>
      </w:r>
      <w:r w:rsidR="00252C0A">
        <w:rPr>
          <w:spacing w:val="-9"/>
        </w:rPr>
        <w:t xml:space="preserve"> </w:t>
      </w:r>
      <w:r w:rsidR="00252C0A">
        <w:t>Futures</w:t>
      </w:r>
      <w:r w:rsidR="00252C0A">
        <w:rPr>
          <w:spacing w:val="-9"/>
        </w:rPr>
        <w:t xml:space="preserve"> </w:t>
      </w:r>
      <w:r w:rsidR="00252C0A">
        <w:t>and</w:t>
      </w:r>
      <w:r w:rsidR="00252C0A">
        <w:rPr>
          <w:spacing w:val="-10"/>
        </w:rPr>
        <w:t xml:space="preserve"> </w:t>
      </w:r>
      <w:r w:rsidR="00252C0A">
        <w:t>Options/</w:t>
      </w:r>
      <w:r w:rsidR="00252C0A">
        <w:rPr>
          <w:spacing w:val="-9"/>
        </w:rPr>
        <w:t xml:space="preserve"> </w:t>
      </w:r>
      <w:r w:rsidR="00252C0A">
        <w:t>Equity</w:t>
      </w:r>
      <w:r w:rsidR="00252C0A">
        <w:rPr>
          <w:spacing w:val="-8"/>
        </w:rPr>
        <w:t xml:space="preserve"> </w:t>
      </w:r>
      <w:r w:rsidR="00252C0A">
        <w:t xml:space="preserve">Derivatives </w:t>
      </w:r>
      <w:r w:rsidR="00252C0A">
        <w:rPr>
          <w:spacing w:val="-2"/>
        </w:rPr>
        <w:t>Segment.</w:t>
      </w:r>
    </w:p>
    <w:p w:rsidR="00565B19" w:rsidRDefault="00252C0A">
      <w:pPr>
        <w:pStyle w:val="BodyText"/>
        <w:spacing w:before="268"/>
        <w:ind w:right="3"/>
        <w:jc w:val="both"/>
      </w:pPr>
      <w:r>
        <w:t xml:space="preserve">Various clients trade with </w:t>
      </w:r>
      <w:r w:rsidR="000C4DE0">
        <w:t>ASPL</w:t>
      </w:r>
      <w:r>
        <w:t xml:space="preserve">. To manage the risk of such trading and to comply inter alia with the requirements of law, the following updated Client Risk Management Policy is being issued for the </w:t>
      </w:r>
      <w:r>
        <w:rPr>
          <w:spacing w:val="-2"/>
        </w:rPr>
        <w:t>knowledge</w:t>
      </w:r>
      <w:r>
        <w:rPr>
          <w:spacing w:val="-4"/>
        </w:rPr>
        <w:t xml:space="preserve"> </w:t>
      </w:r>
      <w:r>
        <w:rPr>
          <w:spacing w:val="-2"/>
        </w:rPr>
        <w:t>and information</w:t>
      </w:r>
      <w:r>
        <w:rPr>
          <w:spacing w:val="-5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rPr>
          <w:spacing w:val="-2"/>
        </w:rPr>
        <w:t>the</w:t>
      </w:r>
      <w:r>
        <w:rPr>
          <w:spacing w:val="-1"/>
        </w:rPr>
        <w:t xml:space="preserve"> </w:t>
      </w:r>
      <w:r>
        <w:rPr>
          <w:spacing w:val="-2"/>
        </w:rPr>
        <w:t>clients,</w:t>
      </w:r>
      <w:r>
        <w:rPr>
          <w:spacing w:val="-4"/>
        </w:rPr>
        <w:t xml:space="preserve"> </w:t>
      </w:r>
      <w:r>
        <w:rPr>
          <w:spacing w:val="-2"/>
        </w:rPr>
        <w:t>employees,</w:t>
      </w:r>
      <w:r>
        <w:rPr>
          <w:spacing w:val="-6"/>
        </w:rPr>
        <w:t xml:space="preserve"> </w:t>
      </w:r>
      <w:r>
        <w:rPr>
          <w:spacing w:val="-2"/>
        </w:rPr>
        <w:t>Authorized</w:t>
      </w:r>
      <w:r>
        <w:rPr>
          <w:spacing w:val="-3"/>
        </w:rPr>
        <w:t xml:space="preserve"> </w:t>
      </w:r>
      <w:r>
        <w:rPr>
          <w:spacing w:val="-2"/>
        </w:rPr>
        <w:t>Persons</w:t>
      </w:r>
      <w:r>
        <w:rPr>
          <w:spacing w:val="-3"/>
        </w:rPr>
        <w:t xml:space="preserve"> </w:t>
      </w:r>
      <w:r>
        <w:rPr>
          <w:spacing w:val="-2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other</w:t>
      </w:r>
      <w:r>
        <w:rPr>
          <w:spacing w:val="-1"/>
        </w:rPr>
        <w:t xml:space="preserve"> </w:t>
      </w:r>
      <w:r>
        <w:rPr>
          <w:spacing w:val="-2"/>
        </w:rPr>
        <w:t>stakeholders</w:t>
      </w:r>
      <w:r>
        <w:rPr>
          <w:spacing w:val="-6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 w:rsidR="000C4DE0">
        <w:rPr>
          <w:spacing w:val="-2"/>
        </w:rPr>
        <w:t>ASPL</w:t>
      </w:r>
      <w:r>
        <w:rPr>
          <w:spacing w:val="-2"/>
        </w:rPr>
        <w:t>.</w:t>
      </w:r>
    </w:p>
    <w:p w:rsidR="00565B19" w:rsidRDefault="00565B19">
      <w:pPr>
        <w:pStyle w:val="BodyText"/>
        <w:spacing w:before="1"/>
      </w:pPr>
    </w:p>
    <w:p w:rsidR="00565B19" w:rsidRDefault="00252C0A">
      <w:pPr>
        <w:pStyle w:val="ListParagraph"/>
        <w:numPr>
          <w:ilvl w:val="0"/>
          <w:numId w:val="2"/>
        </w:numPr>
        <w:tabs>
          <w:tab w:val="left" w:pos="167"/>
        </w:tabs>
        <w:ind w:left="167" w:hanging="167"/>
        <w:jc w:val="both"/>
      </w:pPr>
      <w:r>
        <w:rPr>
          <w:u w:val="single"/>
        </w:rPr>
        <w:t xml:space="preserve"> Risk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Officers</w:t>
      </w:r>
    </w:p>
    <w:p w:rsidR="00565B19" w:rsidRDefault="000C4DE0">
      <w:pPr>
        <w:pStyle w:val="BodyText"/>
        <w:ind w:right="3"/>
        <w:jc w:val="both"/>
      </w:pPr>
      <w:proofErr w:type="spellStart"/>
      <w:r>
        <w:t>Mr</w:t>
      </w:r>
      <w:proofErr w:type="spellEnd"/>
      <w:r>
        <w:t xml:space="preserve"> </w:t>
      </w:r>
      <w:proofErr w:type="spellStart"/>
      <w:r>
        <w:t>Purav</w:t>
      </w:r>
      <w:proofErr w:type="spellEnd"/>
      <w:r>
        <w:t xml:space="preserve"> </w:t>
      </w:r>
      <w:proofErr w:type="spellStart"/>
      <w:r>
        <w:t>Fozdar</w:t>
      </w:r>
      <w:proofErr w:type="spellEnd"/>
      <w:r w:rsidR="00252C0A">
        <w:t>,</w:t>
      </w:r>
      <w:r w:rsidR="00252C0A">
        <w:rPr>
          <w:spacing w:val="-1"/>
        </w:rPr>
        <w:t xml:space="preserve"> </w:t>
      </w:r>
      <w:r w:rsidR="00252C0A">
        <w:t>Managing</w:t>
      </w:r>
      <w:r w:rsidR="00252C0A">
        <w:rPr>
          <w:spacing w:val="-2"/>
        </w:rPr>
        <w:t xml:space="preserve"> </w:t>
      </w:r>
      <w:r w:rsidR="00252C0A">
        <w:t>Director has been</w:t>
      </w:r>
      <w:r w:rsidR="00252C0A">
        <w:rPr>
          <w:spacing w:val="-1"/>
        </w:rPr>
        <w:t xml:space="preserve"> </w:t>
      </w:r>
      <w:r w:rsidR="00252C0A">
        <w:t>designated</w:t>
      </w:r>
      <w:r w:rsidR="00252C0A">
        <w:rPr>
          <w:spacing w:val="-1"/>
        </w:rPr>
        <w:t xml:space="preserve"> </w:t>
      </w:r>
      <w:r w:rsidR="00252C0A">
        <w:t>as</w:t>
      </w:r>
      <w:r w:rsidR="00252C0A">
        <w:rPr>
          <w:spacing w:val="-2"/>
        </w:rPr>
        <w:t xml:space="preserve"> </w:t>
      </w:r>
      <w:r w:rsidR="00252C0A">
        <w:t>the Chief Risk Officer</w:t>
      </w:r>
      <w:r w:rsidR="00252C0A">
        <w:rPr>
          <w:spacing w:val="-2"/>
        </w:rPr>
        <w:t xml:space="preserve"> </w:t>
      </w:r>
      <w:r w:rsidR="00252C0A">
        <w:t>(CRO)</w:t>
      </w:r>
      <w:r w:rsidR="00252C0A">
        <w:rPr>
          <w:spacing w:val="-2"/>
        </w:rPr>
        <w:t xml:space="preserve"> </w:t>
      </w:r>
      <w:r w:rsidR="00252C0A">
        <w:t>of</w:t>
      </w:r>
      <w:r w:rsidR="00252C0A">
        <w:rPr>
          <w:spacing w:val="-3"/>
        </w:rPr>
        <w:t xml:space="preserve"> </w:t>
      </w:r>
      <w:r>
        <w:t>ASPL</w:t>
      </w:r>
      <w:r w:rsidR="00252C0A">
        <w:t xml:space="preserve"> and</w:t>
      </w:r>
      <w:r w:rsidR="00252C0A">
        <w:rPr>
          <w:spacing w:val="-4"/>
        </w:rPr>
        <w:t xml:space="preserve"> </w:t>
      </w:r>
      <w:r>
        <w:t xml:space="preserve">Mr. </w:t>
      </w:r>
      <w:proofErr w:type="spellStart"/>
      <w:r>
        <w:t>Bhanu</w:t>
      </w:r>
      <w:proofErr w:type="spellEnd"/>
      <w:r>
        <w:t xml:space="preserve"> Kumar </w:t>
      </w:r>
      <w:proofErr w:type="spellStart"/>
      <w:r>
        <w:t>Fozdar</w:t>
      </w:r>
      <w:proofErr w:type="spellEnd"/>
      <w:r>
        <w:t xml:space="preserve"> Director</w:t>
      </w:r>
      <w:r w:rsidR="00252C0A">
        <w:t xml:space="preserve"> is designated as the Deputy Chief Risk Officer (DCRO). All decisions relating to risk matters will be taken by CRO/ DCRO. The decision of the DCRO/ CRO for the purpose of Risk Management shall be final in all respects.</w:t>
      </w:r>
    </w:p>
    <w:p w:rsidR="00565B19" w:rsidRDefault="00252C0A">
      <w:pPr>
        <w:pStyle w:val="ListParagraph"/>
        <w:numPr>
          <w:ilvl w:val="0"/>
          <w:numId w:val="2"/>
        </w:numPr>
        <w:tabs>
          <w:tab w:val="left" w:pos="167"/>
        </w:tabs>
        <w:spacing w:before="267"/>
        <w:ind w:left="167" w:hanging="167"/>
      </w:pPr>
      <w:r>
        <w:rPr>
          <w:spacing w:val="-3"/>
          <w:u w:val="single"/>
        </w:rPr>
        <w:t xml:space="preserve"> </w:t>
      </w:r>
      <w:r>
        <w:rPr>
          <w:u w:val="single"/>
        </w:rPr>
        <w:t>Limits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setting</w:t>
      </w:r>
    </w:p>
    <w:p w:rsidR="00565B19" w:rsidRDefault="00252C0A">
      <w:pPr>
        <w:pStyle w:val="BodyText"/>
        <w:spacing w:before="1"/>
      </w:pPr>
      <w:r>
        <w:t>All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 w:rsidR="000C4DE0">
        <w:t>ASPL</w:t>
      </w:r>
      <w:r>
        <w:t>’s</w:t>
      </w:r>
      <w:r>
        <w:rPr>
          <w:spacing w:val="-2"/>
        </w:rPr>
        <w:t xml:space="preserve"> </w:t>
      </w:r>
      <w:r>
        <w:t>clients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provide:</w:t>
      </w:r>
    </w:p>
    <w:p w:rsidR="00565B19" w:rsidRDefault="00252C0A">
      <w:pPr>
        <w:pStyle w:val="ListParagraph"/>
        <w:numPr>
          <w:ilvl w:val="1"/>
          <w:numId w:val="2"/>
        </w:numPr>
        <w:tabs>
          <w:tab w:val="left" w:pos="719"/>
        </w:tabs>
        <w:ind w:left="719" w:hanging="359"/>
      </w:pPr>
      <w:r>
        <w:t>100%</w:t>
      </w:r>
      <w:r>
        <w:rPr>
          <w:spacing w:val="-5"/>
        </w:rPr>
        <w:t xml:space="preserve"> </w:t>
      </w:r>
      <w:r>
        <w:t>funds</w:t>
      </w:r>
      <w:r>
        <w:rPr>
          <w:spacing w:val="-3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purchasing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securities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cash</w:t>
      </w:r>
      <w:r>
        <w:rPr>
          <w:spacing w:val="-4"/>
        </w:rPr>
        <w:t xml:space="preserve"> </w:t>
      </w:r>
      <w:r>
        <w:rPr>
          <w:spacing w:val="-2"/>
        </w:rPr>
        <w:t>segment</w:t>
      </w:r>
    </w:p>
    <w:p w:rsidR="00565B19" w:rsidRDefault="00252C0A">
      <w:pPr>
        <w:pStyle w:val="ListParagraph"/>
        <w:numPr>
          <w:ilvl w:val="1"/>
          <w:numId w:val="2"/>
        </w:numPr>
        <w:tabs>
          <w:tab w:val="left" w:pos="719"/>
        </w:tabs>
        <w:ind w:left="719" w:hanging="359"/>
      </w:pPr>
      <w:r>
        <w:t>Advance</w:t>
      </w:r>
      <w:r>
        <w:rPr>
          <w:spacing w:val="-6"/>
        </w:rPr>
        <w:t xml:space="preserve"> </w:t>
      </w:r>
      <w:r>
        <w:t>early</w:t>
      </w:r>
      <w:r>
        <w:rPr>
          <w:spacing w:val="-1"/>
        </w:rPr>
        <w:t xml:space="preserve"> </w:t>
      </w:r>
      <w:r>
        <w:t>pay-in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securities</w:t>
      </w:r>
      <w:r>
        <w:rPr>
          <w:spacing w:val="-2"/>
        </w:rPr>
        <w:t xml:space="preserve"> </w:t>
      </w:r>
      <w:r>
        <w:t>before</w:t>
      </w:r>
      <w:r>
        <w:rPr>
          <w:spacing w:val="-4"/>
        </w:rPr>
        <w:t xml:space="preserve"> </w:t>
      </w:r>
      <w:r>
        <w:t>selling</w:t>
      </w:r>
      <w:r>
        <w:rPr>
          <w:spacing w:val="-2"/>
        </w:rPr>
        <w:t xml:space="preserve"> </w:t>
      </w:r>
      <w:r>
        <w:t>securities 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cash</w:t>
      </w:r>
      <w:r>
        <w:rPr>
          <w:spacing w:val="-5"/>
        </w:rPr>
        <w:t xml:space="preserve"> </w:t>
      </w:r>
      <w:r>
        <w:rPr>
          <w:spacing w:val="-2"/>
        </w:rPr>
        <w:t>segment</w:t>
      </w:r>
      <w:r w:rsidR="000C4DE0">
        <w:rPr>
          <w:spacing w:val="-2"/>
        </w:rPr>
        <w:t>3</w:t>
      </w:r>
    </w:p>
    <w:p w:rsidR="00565B19" w:rsidRDefault="00252C0A">
      <w:pPr>
        <w:pStyle w:val="ListParagraph"/>
        <w:numPr>
          <w:ilvl w:val="1"/>
          <w:numId w:val="2"/>
        </w:numPr>
        <w:tabs>
          <w:tab w:val="left" w:pos="719"/>
        </w:tabs>
        <w:ind w:left="719" w:hanging="359"/>
      </w:pPr>
      <w:r>
        <w:t>100%</w:t>
      </w:r>
      <w:r>
        <w:rPr>
          <w:spacing w:val="-7"/>
        </w:rPr>
        <w:t xml:space="preserve"> </w:t>
      </w:r>
      <w:r>
        <w:t>margins</w:t>
      </w:r>
      <w:r>
        <w:rPr>
          <w:spacing w:val="-2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trading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equity</w:t>
      </w:r>
      <w:r>
        <w:rPr>
          <w:spacing w:val="-2"/>
        </w:rPr>
        <w:t xml:space="preserve"> </w:t>
      </w:r>
      <w:r>
        <w:t>derivative</w:t>
      </w:r>
      <w:r>
        <w:rPr>
          <w:spacing w:val="-4"/>
        </w:rPr>
        <w:t xml:space="preserve"> </w:t>
      </w:r>
      <w:r>
        <w:t>segment</w:t>
      </w:r>
      <w:r>
        <w:rPr>
          <w:spacing w:val="-2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50:50</w:t>
      </w:r>
      <w:r>
        <w:rPr>
          <w:spacing w:val="-2"/>
        </w:rPr>
        <w:t xml:space="preserve"> </w:t>
      </w:r>
      <w:r>
        <w:t>cash</w:t>
      </w:r>
      <w:r>
        <w:rPr>
          <w:spacing w:val="-4"/>
        </w:rPr>
        <w:t xml:space="preserve"> </w:t>
      </w:r>
      <w:r>
        <w:t>non-cash</w:t>
      </w:r>
      <w:r>
        <w:rPr>
          <w:spacing w:val="-4"/>
        </w:rPr>
        <w:t xml:space="preserve"> </w:t>
      </w:r>
      <w:r>
        <w:rPr>
          <w:spacing w:val="-2"/>
        </w:rPr>
        <w:t>ratio</w:t>
      </w:r>
    </w:p>
    <w:p w:rsidR="00565B19" w:rsidRDefault="00252C0A">
      <w:pPr>
        <w:pStyle w:val="BodyText"/>
        <w:spacing w:before="1"/>
      </w:pPr>
      <w:proofErr w:type="gramStart"/>
      <w:r>
        <w:t>and</w:t>
      </w:r>
      <w:proofErr w:type="gramEnd"/>
      <w:r>
        <w:rPr>
          <w:spacing w:val="-5"/>
        </w:rPr>
        <w:t xml:space="preserve"> </w:t>
      </w:r>
      <w:r>
        <w:t>limits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accordingly.</w:t>
      </w:r>
      <w:r>
        <w:rPr>
          <w:spacing w:val="-6"/>
        </w:rPr>
        <w:t xml:space="preserve"> </w:t>
      </w:r>
      <w:r>
        <w:t>Orders</w:t>
      </w:r>
      <w:r>
        <w:rPr>
          <w:spacing w:val="-6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fulfilling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above</w:t>
      </w:r>
      <w:r>
        <w:rPr>
          <w:spacing w:val="-4"/>
        </w:rPr>
        <w:t xml:space="preserve"> </w:t>
      </w:r>
      <w:r>
        <w:t>criteria</w:t>
      </w:r>
      <w:r>
        <w:rPr>
          <w:spacing w:val="-8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rejected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ground</w:t>
      </w:r>
      <w:r>
        <w:rPr>
          <w:spacing w:val="-6"/>
        </w:rPr>
        <w:t xml:space="preserve"> </w:t>
      </w:r>
      <w:r>
        <w:t>of “not as per CRMP”.</w:t>
      </w:r>
    </w:p>
    <w:p w:rsidR="00565B19" w:rsidRDefault="00565B19">
      <w:pPr>
        <w:pStyle w:val="BodyText"/>
      </w:pPr>
    </w:p>
    <w:p w:rsidR="00565B19" w:rsidRDefault="00252C0A">
      <w:pPr>
        <w:pStyle w:val="BodyText"/>
      </w:pPr>
      <w:r>
        <w:t xml:space="preserve">However, CRO/ DCRO may at their discretion permit additional trades/ exposure based on the following </w:t>
      </w:r>
      <w:r>
        <w:rPr>
          <w:spacing w:val="-2"/>
        </w:rPr>
        <w:t>parameters:</w:t>
      </w:r>
    </w:p>
    <w:p w:rsidR="00565B19" w:rsidRDefault="00252C0A">
      <w:pPr>
        <w:pStyle w:val="ListParagraph"/>
        <w:numPr>
          <w:ilvl w:val="1"/>
          <w:numId w:val="2"/>
        </w:numPr>
        <w:tabs>
          <w:tab w:val="left" w:pos="720"/>
        </w:tabs>
        <w:ind w:right="2"/>
      </w:pPr>
      <w:r>
        <w:t>Where</w:t>
      </w:r>
      <w:r>
        <w:rPr>
          <w:spacing w:val="40"/>
        </w:rPr>
        <w:t xml:space="preserve"> </w:t>
      </w:r>
      <w:r>
        <w:t>client</w:t>
      </w:r>
      <w:r>
        <w:rPr>
          <w:spacing w:val="40"/>
        </w:rPr>
        <w:t xml:space="preserve"> </w:t>
      </w:r>
      <w:r>
        <w:t>has</w:t>
      </w:r>
      <w:r>
        <w:rPr>
          <w:spacing w:val="40"/>
        </w:rPr>
        <w:t xml:space="preserve"> </w:t>
      </w:r>
      <w:r>
        <w:t>given/</w:t>
      </w:r>
      <w:r>
        <w:rPr>
          <w:spacing w:val="40"/>
        </w:rPr>
        <w:t xml:space="preserve"> </w:t>
      </w:r>
      <w:r>
        <w:t>executed</w:t>
      </w:r>
      <w:r>
        <w:rPr>
          <w:spacing w:val="40"/>
        </w:rPr>
        <w:t xml:space="preserve"> </w:t>
      </w:r>
      <w:r>
        <w:t>Power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Attorney/</w:t>
      </w:r>
      <w:r>
        <w:rPr>
          <w:spacing w:val="40"/>
        </w:rPr>
        <w:t xml:space="preserve"> </w:t>
      </w:r>
      <w:proofErr w:type="spellStart"/>
      <w:r>
        <w:t>Demat</w:t>
      </w:r>
      <w:proofErr w:type="spellEnd"/>
      <w:r>
        <w:rPr>
          <w:spacing w:val="40"/>
        </w:rPr>
        <w:t xml:space="preserve"> </w:t>
      </w:r>
      <w:r>
        <w:t>Debit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Pledge</w:t>
      </w:r>
      <w:r>
        <w:rPr>
          <w:spacing w:val="40"/>
        </w:rPr>
        <w:t xml:space="preserve"> </w:t>
      </w:r>
      <w:r>
        <w:t xml:space="preserve">Instruction (POA/DDPI) in </w:t>
      </w:r>
      <w:proofErr w:type="spellStart"/>
      <w:r>
        <w:t>favour</w:t>
      </w:r>
      <w:proofErr w:type="spellEnd"/>
      <w:r>
        <w:t xml:space="preserve"> of </w:t>
      </w:r>
      <w:r w:rsidR="000C4DE0">
        <w:t>ASPL</w:t>
      </w:r>
    </w:p>
    <w:p w:rsidR="00565B19" w:rsidRDefault="00252C0A">
      <w:pPr>
        <w:pStyle w:val="ListParagraph"/>
        <w:numPr>
          <w:ilvl w:val="1"/>
          <w:numId w:val="2"/>
        </w:numPr>
        <w:tabs>
          <w:tab w:val="left" w:pos="720"/>
        </w:tabs>
        <w:ind w:right="2"/>
      </w:pPr>
      <w:r>
        <w:t xml:space="preserve">Based on the past relationship, trading behavior of the client, the known financial standing and the value of collateral deposited/ lying with </w:t>
      </w:r>
      <w:r w:rsidR="000C4DE0">
        <w:t>ASPL</w:t>
      </w:r>
    </w:p>
    <w:p w:rsidR="00565B19" w:rsidRDefault="00252C0A">
      <w:pPr>
        <w:pStyle w:val="BodyText"/>
      </w:pPr>
      <w:r>
        <w:t>However, the CRO/ DCRO may not permit any additional exposure which does not meet the regulatory minimum margins norms, as applicable from time to time.</w:t>
      </w:r>
    </w:p>
    <w:p w:rsidR="00565B19" w:rsidRDefault="00565B19">
      <w:pPr>
        <w:pStyle w:val="BodyText"/>
      </w:pPr>
    </w:p>
    <w:p w:rsidR="00565B19" w:rsidRDefault="00252C0A">
      <w:pPr>
        <w:pStyle w:val="ListParagraph"/>
        <w:numPr>
          <w:ilvl w:val="0"/>
          <w:numId w:val="1"/>
        </w:numPr>
        <w:tabs>
          <w:tab w:val="left" w:pos="167"/>
        </w:tabs>
        <w:ind w:left="167" w:hanging="167"/>
      </w:pPr>
      <w:r>
        <w:rPr>
          <w:spacing w:val="-2"/>
          <w:u w:val="single"/>
        </w:rPr>
        <w:t xml:space="preserve"> </w:t>
      </w:r>
      <w:r>
        <w:rPr>
          <w:u w:val="single"/>
        </w:rPr>
        <w:t>Restriction</w:t>
      </w:r>
      <w:r>
        <w:rPr>
          <w:spacing w:val="-3"/>
          <w:u w:val="single"/>
        </w:rPr>
        <w:t xml:space="preserve"> </w:t>
      </w:r>
      <w:r>
        <w:rPr>
          <w:u w:val="single"/>
        </w:rPr>
        <w:t>of</w:t>
      </w:r>
      <w:r>
        <w:rPr>
          <w:spacing w:val="-1"/>
          <w:u w:val="single"/>
        </w:rPr>
        <w:t xml:space="preserve"> </w:t>
      </w:r>
      <w:r>
        <w:rPr>
          <w:u w:val="single"/>
        </w:rPr>
        <w:t>further</w:t>
      </w:r>
      <w:r>
        <w:rPr>
          <w:spacing w:val="-3"/>
          <w:u w:val="single"/>
        </w:rPr>
        <w:t xml:space="preserve"> </w:t>
      </w:r>
      <w:r>
        <w:rPr>
          <w:u w:val="single"/>
        </w:rPr>
        <w:t>exposure</w:t>
      </w:r>
      <w:r>
        <w:rPr>
          <w:spacing w:val="-3"/>
          <w:u w:val="single"/>
        </w:rPr>
        <w:t xml:space="preserve"> </w:t>
      </w:r>
      <w:r>
        <w:rPr>
          <w:u w:val="single"/>
        </w:rPr>
        <w:t>on</w:t>
      </w:r>
      <w:r>
        <w:rPr>
          <w:spacing w:val="-1"/>
          <w:u w:val="single"/>
        </w:rPr>
        <w:t xml:space="preserve"> </w:t>
      </w:r>
      <w:r>
        <w:rPr>
          <w:u w:val="single"/>
        </w:rPr>
        <w:t>T</w:t>
      </w:r>
      <w:r>
        <w:rPr>
          <w:spacing w:val="-3"/>
          <w:u w:val="single"/>
        </w:rPr>
        <w:t xml:space="preserve"> </w:t>
      </w:r>
      <w:r>
        <w:rPr>
          <w:u w:val="single"/>
        </w:rPr>
        <w:t>+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5 </w:t>
      </w:r>
      <w:r>
        <w:rPr>
          <w:spacing w:val="-4"/>
          <w:u w:val="single"/>
        </w:rPr>
        <w:t>days</w:t>
      </w:r>
    </w:p>
    <w:p w:rsidR="00565B19" w:rsidRDefault="00252C0A">
      <w:pPr>
        <w:pStyle w:val="BodyText"/>
      </w:pPr>
      <w:r>
        <w:t>For</w:t>
      </w:r>
      <w:r>
        <w:rPr>
          <w:spacing w:val="-7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client</w:t>
      </w:r>
      <w:r>
        <w:rPr>
          <w:spacing w:val="-10"/>
        </w:rPr>
        <w:t xml:space="preserve"> </w:t>
      </w:r>
      <w:r>
        <w:t>continuously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debit</w:t>
      </w:r>
      <w:r>
        <w:rPr>
          <w:spacing w:val="-7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than</w:t>
      </w:r>
      <w:r>
        <w:rPr>
          <w:spacing w:val="-10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days,</w:t>
      </w:r>
      <w:r>
        <w:rPr>
          <w:spacing w:val="-7"/>
        </w:rPr>
        <w:t xml:space="preserve"> </w:t>
      </w:r>
      <w:r>
        <w:t>further</w:t>
      </w:r>
      <w:r>
        <w:rPr>
          <w:spacing w:val="-9"/>
        </w:rPr>
        <w:t xml:space="preserve"> </w:t>
      </w:r>
      <w:r>
        <w:t>buying/</w:t>
      </w:r>
      <w:r>
        <w:rPr>
          <w:spacing w:val="-8"/>
        </w:rPr>
        <w:t xml:space="preserve"> </w:t>
      </w:r>
      <w:r>
        <w:t>exposure</w:t>
      </w:r>
      <w:r>
        <w:rPr>
          <w:spacing w:val="-7"/>
        </w:rPr>
        <w:t xml:space="preserve"> </w:t>
      </w:r>
      <w:r>
        <w:t>would</w:t>
      </w:r>
      <w:r>
        <w:rPr>
          <w:spacing w:val="-8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stopped</w:t>
      </w:r>
      <w:r>
        <w:rPr>
          <w:spacing w:val="-7"/>
        </w:rPr>
        <w:t xml:space="preserve"> </w:t>
      </w:r>
      <w:r>
        <w:t>and only sale/ exposure reduction will be permitted till debit is cleared.</w:t>
      </w:r>
    </w:p>
    <w:p w:rsidR="00565B19" w:rsidRDefault="00565B19">
      <w:pPr>
        <w:pStyle w:val="BodyText"/>
        <w:sectPr w:rsidR="00565B19">
          <w:headerReference w:type="default" r:id="rId7"/>
          <w:type w:val="continuous"/>
          <w:pgSz w:w="12240" w:h="15840"/>
          <w:pgMar w:top="1740" w:right="1440" w:bottom="280" w:left="1440" w:header="720" w:footer="0" w:gutter="0"/>
          <w:pgNumType w:start="1"/>
          <w:cols w:space="720"/>
        </w:sectPr>
      </w:pPr>
    </w:p>
    <w:p w:rsidR="00565B19" w:rsidRDefault="00252C0A">
      <w:pPr>
        <w:pStyle w:val="ListParagraph"/>
        <w:numPr>
          <w:ilvl w:val="0"/>
          <w:numId w:val="1"/>
        </w:numPr>
        <w:tabs>
          <w:tab w:val="left" w:pos="167"/>
        </w:tabs>
        <w:spacing w:line="265" w:lineRule="exact"/>
        <w:ind w:left="167" w:hanging="167"/>
        <w:jc w:val="both"/>
      </w:pPr>
      <w:r>
        <w:rPr>
          <w:spacing w:val="-3"/>
          <w:u w:val="single"/>
        </w:rPr>
        <w:lastRenderedPageBreak/>
        <w:t xml:space="preserve"> </w:t>
      </w:r>
      <w:r>
        <w:rPr>
          <w:u w:val="single"/>
        </w:rPr>
        <w:t>Non</w:t>
      </w:r>
      <w:r>
        <w:rPr>
          <w:spacing w:val="-3"/>
          <w:u w:val="single"/>
        </w:rPr>
        <w:t xml:space="preserve"> </w:t>
      </w:r>
      <w:r>
        <w:rPr>
          <w:u w:val="single"/>
        </w:rPr>
        <w:t>meeting</w:t>
      </w:r>
      <w:r>
        <w:rPr>
          <w:spacing w:val="-4"/>
          <w:u w:val="single"/>
        </w:rPr>
        <w:t xml:space="preserve"> </w:t>
      </w:r>
      <w:r>
        <w:rPr>
          <w:u w:val="single"/>
        </w:rPr>
        <w:t>of</w:t>
      </w:r>
      <w:r>
        <w:rPr>
          <w:spacing w:val="-2"/>
          <w:u w:val="single"/>
        </w:rPr>
        <w:t xml:space="preserve"> </w:t>
      </w:r>
      <w:r>
        <w:rPr>
          <w:u w:val="single"/>
        </w:rPr>
        <w:t>settlement</w:t>
      </w:r>
      <w:r>
        <w:rPr>
          <w:spacing w:val="-2"/>
          <w:u w:val="single"/>
        </w:rPr>
        <w:t xml:space="preserve"> obligations</w:t>
      </w:r>
    </w:p>
    <w:p w:rsidR="00565B19" w:rsidRDefault="00252C0A">
      <w:pPr>
        <w:pStyle w:val="BodyText"/>
        <w:ind w:right="4"/>
        <w:jc w:val="both"/>
      </w:pPr>
      <w:r>
        <w:t xml:space="preserve">Wherever settlement obligations are not met per the MII deadlines, </w:t>
      </w:r>
      <w:r w:rsidR="000C4DE0">
        <w:t>ASPL</w:t>
      </w:r>
      <w:r>
        <w:t xml:space="preserve"> will square up the positions/ sell collateral in the market after giving notice the day prior.</w:t>
      </w:r>
    </w:p>
    <w:p w:rsidR="00565B19" w:rsidRDefault="00565B19">
      <w:pPr>
        <w:pStyle w:val="BodyText"/>
      </w:pPr>
    </w:p>
    <w:p w:rsidR="00565B19" w:rsidRDefault="00252C0A">
      <w:pPr>
        <w:pStyle w:val="BodyText"/>
        <w:spacing w:before="1"/>
        <w:ind w:right="5"/>
        <w:jc w:val="both"/>
      </w:pPr>
      <w:r>
        <w:t>CRO/</w:t>
      </w:r>
      <w:r>
        <w:rPr>
          <w:spacing w:val="-13"/>
        </w:rPr>
        <w:t xml:space="preserve"> </w:t>
      </w:r>
      <w:r>
        <w:t>DCRO</w:t>
      </w:r>
      <w:r>
        <w:rPr>
          <w:spacing w:val="-12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at</w:t>
      </w:r>
      <w:r>
        <w:rPr>
          <w:spacing w:val="-12"/>
        </w:rPr>
        <w:t xml:space="preserve"> </w:t>
      </w:r>
      <w:r>
        <w:t>their</w:t>
      </w:r>
      <w:r>
        <w:rPr>
          <w:spacing w:val="-13"/>
        </w:rPr>
        <w:t xml:space="preserve"> </w:t>
      </w:r>
      <w:r>
        <w:t>discretion</w:t>
      </w:r>
      <w:r>
        <w:rPr>
          <w:spacing w:val="-12"/>
        </w:rPr>
        <w:t xml:space="preserve"> </w:t>
      </w:r>
      <w:r>
        <w:t>give</w:t>
      </w:r>
      <w:r>
        <w:rPr>
          <w:spacing w:val="-13"/>
        </w:rPr>
        <w:t xml:space="preserve"> </w:t>
      </w:r>
      <w:r>
        <w:t>extra</w:t>
      </w:r>
      <w:r>
        <w:rPr>
          <w:spacing w:val="-12"/>
        </w:rPr>
        <w:t xml:space="preserve"> </w:t>
      </w:r>
      <w:r>
        <w:t>time</w:t>
      </w:r>
      <w:r>
        <w:rPr>
          <w:spacing w:val="-12"/>
        </w:rPr>
        <w:t xml:space="preserve"> </w:t>
      </w:r>
      <w:r>
        <w:t>(to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extent</w:t>
      </w:r>
      <w:r>
        <w:rPr>
          <w:spacing w:val="-13"/>
        </w:rPr>
        <w:t xml:space="preserve"> </w:t>
      </w:r>
      <w:r>
        <w:t>permitted</w:t>
      </w:r>
      <w:r>
        <w:rPr>
          <w:spacing w:val="-12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law)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meet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 xml:space="preserve">settlement obligations based on request (one time or standing) made by the clients to </w:t>
      </w:r>
      <w:r w:rsidR="000C4DE0">
        <w:t>ASPL</w:t>
      </w:r>
      <w:r>
        <w:t>/ its dealers/ its Authorized Persons.</w:t>
      </w:r>
    </w:p>
    <w:p w:rsidR="00565B19" w:rsidRDefault="00252C0A">
      <w:pPr>
        <w:pStyle w:val="BodyText"/>
        <w:spacing w:before="267"/>
        <w:ind w:right="3"/>
        <w:jc w:val="both"/>
      </w:pPr>
      <w:r>
        <w:t>In</w:t>
      </w:r>
      <w:r>
        <w:rPr>
          <w:spacing w:val="-13"/>
        </w:rPr>
        <w:t xml:space="preserve"> </w:t>
      </w:r>
      <w:r>
        <w:t>case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account</w:t>
      </w:r>
      <w:r>
        <w:rPr>
          <w:spacing w:val="-10"/>
        </w:rPr>
        <w:t xml:space="preserve"> </w:t>
      </w:r>
      <w:r>
        <w:t>still</w:t>
      </w:r>
      <w:r>
        <w:rPr>
          <w:spacing w:val="-13"/>
        </w:rPr>
        <w:t xml:space="preserve"> </w:t>
      </w:r>
      <w:r>
        <w:t>being</w:t>
      </w:r>
      <w:r>
        <w:rPr>
          <w:spacing w:val="-12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debit</w:t>
      </w:r>
      <w:r>
        <w:rPr>
          <w:spacing w:val="-10"/>
        </w:rPr>
        <w:t xml:space="preserve"> </w:t>
      </w:r>
      <w:r>
        <w:t>post</w:t>
      </w:r>
      <w:r>
        <w:rPr>
          <w:spacing w:val="-11"/>
        </w:rPr>
        <w:t xml:space="preserve"> </w:t>
      </w:r>
      <w:r>
        <w:t>square</w:t>
      </w:r>
      <w:r>
        <w:rPr>
          <w:spacing w:val="-10"/>
        </w:rPr>
        <w:t xml:space="preserve"> </w:t>
      </w:r>
      <w:r>
        <w:t>up</w:t>
      </w:r>
      <w:r>
        <w:rPr>
          <w:spacing w:val="-13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positions/</w:t>
      </w:r>
      <w:r>
        <w:rPr>
          <w:spacing w:val="-10"/>
        </w:rPr>
        <w:t xml:space="preserve"> </w:t>
      </w:r>
      <w:r>
        <w:t>selling</w:t>
      </w:r>
      <w:r>
        <w:rPr>
          <w:spacing w:val="-13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collateral,</w:t>
      </w:r>
      <w:r>
        <w:rPr>
          <w:spacing w:val="-13"/>
        </w:rPr>
        <w:t xml:space="preserve"> </w:t>
      </w:r>
      <w:r>
        <w:t>notices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be</w:t>
      </w:r>
      <w:r>
        <w:rPr>
          <w:spacing w:val="-10"/>
        </w:rPr>
        <w:t xml:space="preserve"> </w:t>
      </w:r>
      <w:r>
        <w:t>issued and thereafter arbitration will be filed against the clients.</w:t>
      </w:r>
    </w:p>
    <w:p w:rsidR="00565B19" w:rsidRDefault="00565B19">
      <w:pPr>
        <w:pStyle w:val="BodyText"/>
      </w:pPr>
    </w:p>
    <w:p w:rsidR="00565B19" w:rsidRDefault="00252C0A">
      <w:pPr>
        <w:pStyle w:val="ListParagraph"/>
        <w:numPr>
          <w:ilvl w:val="0"/>
          <w:numId w:val="1"/>
        </w:numPr>
        <w:tabs>
          <w:tab w:val="left" w:pos="167"/>
        </w:tabs>
        <w:spacing w:before="1"/>
        <w:ind w:left="167" w:hanging="167"/>
        <w:jc w:val="both"/>
      </w:pPr>
      <w:r>
        <w:rPr>
          <w:spacing w:val="-1"/>
          <w:u w:val="single"/>
        </w:rPr>
        <w:t xml:space="preserve"> </w:t>
      </w:r>
      <w:r>
        <w:rPr>
          <w:u w:val="single"/>
        </w:rPr>
        <w:t>Transfer</w:t>
      </w:r>
      <w:r>
        <w:rPr>
          <w:spacing w:val="-3"/>
          <w:u w:val="single"/>
        </w:rPr>
        <w:t xml:space="preserve"> </w:t>
      </w:r>
      <w:r>
        <w:rPr>
          <w:u w:val="single"/>
        </w:rPr>
        <w:t xml:space="preserve">of </w:t>
      </w:r>
      <w:r>
        <w:rPr>
          <w:spacing w:val="-2"/>
          <w:u w:val="single"/>
        </w:rPr>
        <w:t>Securities</w:t>
      </w:r>
    </w:p>
    <w:p w:rsidR="00565B19" w:rsidRDefault="00252C0A">
      <w:pPr>
        <w:pStyle w:val="BodyText"/>
        <w:ind w:right="2"/>
        <w:jc w:val="both"/>
      </w:pPr>
      <w:r>
        <w:t>In case of securities not fully paid up, the securities will be transferred in the form of Client Unpaid Securities</w:t>
      </w:r>
      <w:r>
        <w:rPr>
          <w:spacing w:val="-8"/>
        </w:rPr>
        <w:t xml:space="preserve"> </w:t>
      </w:r>
      <w:r>
        <w:t>Pledgee</w:t>
      </w:r>
      <w:r>
        <w:rPr>
          <w:spacing w:val="-6"/>
        </w:rPr>
        <w:t xml:space="preserve"> </w:t>
      </w:r>
      <w:r>
        <w:t>Account</w:t>
      </w:r>
      <w:r>
        <w:rPr>
          <w:spacing w:val="-8"/>
        </w:rPr>
        <w:t xml:space="preserve"> </w:t>
      </w:r>
      <w:r>
        <w:t>(CUSPA)</w:t>
      </w:r>
      <w:r>
        <w:rPr>
          <w:spacing w:val="-6"/>
        </w:rPr>
        <w:t xml:space="preserve"> </w:t>
      </w:r>
      <w:r>
        <w:t>pledge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client</w:t>
      </w:r>
      <w:r>
        <w:rPr>
          <w:spacing w:val="-7"/>
        </w:rPr>
        <w:t xml:space="preserve"> </w:t>
      </w:r>
      <w:proofErr w:type="spellStart"/>
      <w:r>
        <w:t>demat</w:t>
      </w:r>
      <w:proofErr w:type="spellEnd"/>
      <w:r>
        <w:rPr>
          <w:spacing w:val="-6"/>
        </w:rPr>
        <w:t xml:space="preserve"> </w:t>
      </w:r>
      <w:r>
        <w:t>account.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clients</w:t>
      </w:r>
      <w:r>
        <w:rPr>
          <w:spacing w:val="-6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alternate option</w:t>
      </w:r>
      <w:r>
        <w:rPr>
          <w:spacing w:val="-12"/>
        </w:rPr>
        <w:t xml:space="preserve"> </w:t>
      </w:r>
      <w:r>
        <w:t>(where</w:t>
      </w:r>
      <w:r>
        <w:rPr>
          <w:spacing w:val="-7"/>
        </w:rPr>
        <w:t xml:space="preserve"> </w:t>
      </w:r>
      <w:r>
        <w:t>permitted</w:t>
      </w:r>
      <w:r>
        <w:rPr>
          <w:spacing w:val="-8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law)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provide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securities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form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Margin</w:t>
      </w:r>
      <w:r>
        <w:rPr>
          <w:spacing w:val="-9"/>
        </w:rPr>
        <w:t xml:space="preserve"> </w:t>
      </w:r>
      <w:r>
        <w:t>Pledge</w:t>
      </w:r>
      <w:r>
        <w:rPr>
          <w:spacing w:val="-9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an</w:t>
      </w:r>
      <w:r>
        <w:rPr>
          <w:spacing w:val="-9"/>
        </w:rPr>
        <w:t xml:space="preserve"> </w:t>
      </w:r>
      <w:r>
        <w:t>alternative to CUSPA pledge.</w:t>
      </w:r>
    </w:p>
    <w:p w:rsidR="00565B19" w:rsidRDefault="00252C0A">
      <w:pPr>
        <w:pStyle w:val="ListParagraph"/>
        <w:numPr>
          <w:ilvl w:val="0"/>
          <w:numId w:val="1"/>
        </w:numPr>
        <w:tabs>
          <w:tab w:val="left" w:pos="167"/>
        </w:tabs>
        <w:spacing w:before="267"/>
        <w:ind w:left="167" w:hanging="167"/>
        <w:jc w:val="both"/>
      </w:pPr>
      <w:r>
        <w:rPr>
          <w:spacing w:val="-2"/>
          <w:u w:val="single"/>
        </w:rPr>
        <w:t xml:space="preserve"> </w:t>
      </w:r>
      <w:r>
        <w:rPr>
          <w:u w:val="single"/>
        </w:rPr>
        <w:t>Voluntary</w:t>
      </w:r>
      <w:r>
        <w:rPr>
          <w:spacing w:val="-1"/>
          <w:u w:val="single"/>
        </w:rPr>
        <w:t xml:space="preserve"> </w:t>
      </w:r>
      <w:r>
        <w:rPr>
          <w:u w:val="single"/>
        </w:rPr>
        <w:t>freezing</w:t>
      </w:r>
      <w:r>
        <w:rPr>
          <w:spacing w:val="-2"/>
          <w:u w:val="single"/>
        </w:rPr>
        <w:t xml:space="preserve"> </w:t>
      </w:r>
      <w:r>
        <w:rPr>
          <w:u w:val="single"/>
        </w:rPr>
        <w:t>/</w:t>
      </w:r>
      <w:r>
        <w:rPr>
          <w:spacing w:val="-4"/>
          <w:u w:val="single"/>
        </w:rPr>
        <w:t xml:space="preserve"> </w:t>
      </w:r>
      <w:r>
        <w:rPr>
          <w:u w:val="single"/>
        </w:rPr>
        <w:t>blocking</w:t>
      </w:r>
      <w:r>
        <w:rPr>
          <w:spacing w:val="-2"/>
          <w:u w:val="single"/>
        </w:rPr>
        <w:t xml:space="preserve"> </w:t>
      </w:r>
      <w:r>
        <w:rPr>
          <w:u w:val="single"/>
        </w:rPr>
        <w:t>the</w:t>
      </w:r>
      <w:r>
        <w:rPr>
          <w:spacing w:val="-4"/>
          <w:u w:val="single"/>
        </w:rPr>
        <w:t xml:space="preserve"> </w:t>
      </w:r>
      <w:r>
        <w:rPr>
          <w:u w:val="single"/>
        </w:rPr>
        <w:t>online</w:t>
      </w:r>
      <w:r>
        <w:rPr>
          <w:spacing w:val="-2"/>
          <w:u w:val="single"/>
        </w:rPr>
        <w:t xml:space="preserve"> </w:t>
      </w:r>
      <w:r>
        <w:rPr>
          <w:u w:val="single"/>
        </w:rPr>
        <w:t>access</w:t>
      </w:r>
      <w:r>
        <w:rPr>
          <w:spacing w:val="-6"/>
          <w:u w:val="single"/>
        </w:rPr>
        <w:t xml:space="preserve"> </w:t>
      </w:r>
      <w:r>
        <w:rPr>
          <w:u w:val="single"/>
        </w:rPr>
        <w:t>of</w:t>
      </w:r>
      <w:r>
        <w:rPr>
          <w:spacing w:val="-5"/>
          <w:u w:val="single"/>
        </w:rPr>
        <w:t xml:space="preserve"> </w:t>
      </w:r>
      <w:r>
        <w:rPr>
          <w:u w:val="single"/>
        </w:rPr>
        <w:t>trading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accounts</w:t>
      </w:r>
    </w:p>
    <w:p w:rsidR="00565B19" w:rsidRDefault="00252C0A">
      <w:pPr>
        <w:pStyle w:val="BodyText"/>
        <w:ind w:right="3"/>
        <w:jc w:val="both"/>
      </w:pPr>
      <w:r>
        <w:t>Per the requirements of SEBI circular ref. SEBI/HO/MIRSD/POD-1/P/CIR/2024/4 dated 12-Jan-2024 and instructions</w:t>
      </w:r>
      <w:r>
        <w:rPr>
          <w:spacing w:val="-5"/>
        </w:rPr>
        <w:t xml:space="preserve"> </w:t>
      </w:r>
      <w:r>
        <w:t>given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Market</w:t>
      </w:r>
      <w:r>
        <w:rPr>
          <w:spacing w:val="-5"/>
        </w:rPr>
        <w:t xml:space="preserve"> </w:t>
      </w:r>
      <w:r>
        <w:t>Infrastructure</w:t>
      </w:r>
      <w:r>
        <w:rPr>
          <w:spacing w:val="-5"/>
        </w:rPr>
        <w:t xml:space="preserve"> </w:t>
      </w:r>
      <w:r>
        <w:t>Institutions</w:t>
      </w:r>
      <w:r>
        <w:rPr>
          <w:spacing w:val="-5"/>
        </w:rPr>
        <w:t xml:space="preserve"> </w:t>
      </w:r>
      <w:r>
        <w:t>(MIIs)</w:t>
      </w:r>
      <w:r>
        <w:rPr>
          <w:spacing w:val="-5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time,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7"/>
        </w:rPr>
        <w:t xml:space="preserve"> </w:t>
      </w:r>
      <w:r>
        <w:t>facility of voluntary freezing/ blocking of online access to trading accounts is issued:</w:t>
      </w:r>
    </w:p>
    <w:p w:rsidR="00565B19" w:rsidRDefault="00252C0A">
      <w:pPr>
        <w:pStyle w:val="ListParagraph"/>
        <w:numPr>
          <w:ilvl w:val="1"/>
          <w:numId w:val="1"/>
        </w:numPr>
        <w:tabs>
          <w:tab w:val="left" w:pos="720"/>
        </w:tabs>
        <w:spacing w:before="1"/>
        <w:ind w:right="5"/>
        <w:jc w:val="both"/>
      </w:pPr>
      <w:r>
        <w:t>Client may send email to the dedicated email ID “</w:t>
      </w:r>
      <w:r w:rsidR="00E14A20" w:rsidRPr="00E14A20">
        <w:rPr>
          <w:u w:val="single"/>
        </w:rPr>
        <w:t>stoptrade@axiomsharebroking.in</w:t>
      </w:r>
      <w:r>
        <w:t xml:space="preserve">” or send a </w:t>
      </w:r>
      <w:proofErr w:type="spellStart"/>
      <w:r>
        <w:t>WhatsApp</w:t>
      </w:r>
      <w:proofErr w:type="spellEnd"/>
      <w:r>
        <w:t xml:space="preserve"> message on +91</w:t>
      </w:r>
      <w:r w:rsidR="00E14A20" w:rsidRPr="00E14A20">
        <w:t>9819523326</w:t>
      </w:r>
    </w:p>
    <w:p w:rsidR="00565B19" w:rsidRDefault="00252C0A">
      <w:pPr>
        <w:pStyle w:val="ListParagraph"/>
        <w:numPr>
          <w:ilvl w:val="1"/>
          <w:numId w:val="1"/>
        </w:numPr>
        <w:tabs>
          <w:tab w:val="left" w:pos="720"/>
        </w:tabs>
        <w:spacing w:before="1"/>
        <w:ind w:right="3"/>
        <w:jc w:val="both"/>
      </w:pPr>
      <w:r>
        <w:t>The</w:t>
      </w:r>
      <w:r>
        <w:rPr>
          <w:spacing w:val="-7"/>
        </w:rPr>
        <w:t xml:space="preserve"> </w:t>
      </w:r>
      <w:r>
        <w:t>trading</w:t>
      </w:r>
      <w:r>
        <w:rPr>
          <w:spacing w:val="-6"/>
        </w:rPr>
        <w:t xml:space="preserve"> </w:t>
      </w:r>
      <w:r>
        <w:t>account</w:t>
      </w:r>
      <w:r>
        <w:rPr>
          <w:spacing w:val="-7"/>
        </w:rPr>
        <w:t xml:space="preserve"> </w:t>
      </w:r>
      <w:r>
        <w:t>online</w:t>
      </w:r>
      <w:r>
        <w:rPr>
          <w:spacing w:val="-9"/>
        </w:rPr>
        <w:t xml:space="preserve"> </w:t>
      </w:r>
      <w:r>
        <w:t>access</w:t>
      </w:r>
      <w:r>
        <w:rPr>
          <w:spacing w:val="-7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blocked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intimation/</w:t>
      </w:r>
      <w:r>
        <w:rPr>
          <w:spacing w:val="-7"/>
        </w:rPr>
        <w:t xml:space="preserve"> </w:t>
      </w:r>
      <w:r>
        <w:t>acknowledgment</w:t>
      </w:r>
      <w:r>
        <w:rPr>
          <w:spacing w:val="-6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issued to the client on their registered email within the regulatory timelines along with information as required by law like confirmation on freezing/blocking, confirmation on cancellation of all the pending orders, details of open positions, if any, along with the contract expiry information</w:t>
      </w:r>
    </w:p>
    <w:p w:rsidR="00565B19" w:rsidRDefault="00252C0A">
      <w:pPr>
        <w:pStyle w:val="ListParagraph"/>
        <w:numPr>
          <w:ilvl w:val="1"/>
          <w:numId w:val="1"/>
        </w:numPr>
        <w:tabs>
          <w:tab w:val="left" w:pos="720"/>
        </w:tabs>
        <w:ind w:right="1"/>
        <w:jc w:val="both"/>
      </w:pPr>
      <w:r>
        <w:t xml:space="preserve">To re-enable access, clients would need to contact their CRO/ DCRO either directly or through their dealer/ Authorized Person. On being satisfied, CRO/ DCRO will approve re-enabling online </w:t>
      </w:r>
      <w:r>
        <w:rPr>
          <w:spacing w:val="-2"/>
        </w:rPr>
        <w:t>access.</w:t>
      </w:r>
    </w:p>
    <w:p w:rsidR="00565B19" w:rsidRDefault="00252C0A">
      <w:pPr>
        <w:pStyle w:val="ListParagraph"/>
        <w:numPr>
          <w:ilvl w:val="0"/>
          <w:numId w:val="1"/>
        </w:numPr>
        <w:tabs>
          <w:tab w:val="left" w:pos="167"/>
        </w:tabs>
        <w:spacing w:before="268"/>
        <w:ind w:left="167" w:hanging="167"/>
        <w:jc w:val="both"/>
      </w:pPr>
      <w:r>
        <w:rPr>
          <w:u w:val="single"/>
        </w:rPr>
        <w:t xml:space="preserve"> </w:t>
      </w:r>
      <w:r>
        <w:rPr>
          <w:spacing w:val="-2"/>
          <w:u w:val="single"/>
        </w:rPr>
        <w:t>Approval</w:t>
      </w:r>
    </w:p>
    <w:p w:rsidR="00565B19" w:rsidRDefault="00252C0A">
      <w:pPr>
        <w:pStyle w:val="BodyText"/>
        <w:ind w:right="4"/>
        <w:jc w:val="both"/>
      </w:pPr>
      <w:r>
        <w:t xml:space="preserve">This revised policy has been approved at a meeting of the Directors of </w:t>
      </w:r>
      <w:r w:rsidR="000C4DE0">
        <w:t>ASPL</w:t>
      </w:r>
      <w:r>
        <w:t xml:space="preserve"> held on 01-July-2024 and is subject to annual review.</w:t>
      </w:r>
    </w:p>
    <w:p w:rsidR="00565B19" w:rsidRDefault="00565B19">
      <w:pPr>
        <w:pStyle w:val="BodyText"/>
        <w:spacing w:before="6"/>
      </w:pPr>
    </w:p>
    <w:p w:rsidR="00E14A20" w:rsidRDefault="00252C0A">
      <w:pPr>
        <w:pStyle w:val="BodyText"/>
        <w:spacing w:line="530" w:lineRule="atLeast"/>
        <w:ind w:right="6296"/>
      </w:pPr>
      <w:r>
        <w:t>For</w:t>
      </w:r>
      <w:r>
        <w:rPr>
          <w:spacing w:val="-9"/>
        </w:rPr>
        <w:t xml:space="preserve"> </w:t>
      </w:r>
      <w:r w:rsidR="000C4DE0">
        <w:t xml:space="preserve">Axiom Share Broking </w:t>
      </w:r>
      <w:proofErr w:type="spellStart"/>
      <w:r w:rsidR="000C4DE0">
        <w:t>Pvt</w:t>
      </w:r>
      <w:proofErr w:type="spellEnd"/>
      <w:r w:rsidR="000C4DE0">
        <w:t xml:space="preserve"> Ltd</w:t>
      </w:r>
    </w:p>
    <w:p w:rsidR="00E14A20" w:rsidRDefault="00E14A20">
      <w:pPr>
        <w:pStyle w:val="BodyText"/>
        <w:spacing w:line="530" w:lineRule="atLeast"/>
        <w:ind w:right="6296"/>
        <w:rPr>
          <w:spacing w:val="-4"/>
        </w:rPr>
      </w:pPr>
    </w:p>
    <w:p w:rsidR="00565B19" w:rsidRDefault="00252C0A">
      <w:pPr>
        <w:pStyle w:val="BodyText"/>
        <w:spacing w:line="530" w:lineRule="atLeast"/>
        <w:ind w:right="6296"/>
        <w:rPr>
          <w:spacing w:val="-4"/>
        </w:rPr>
      </w:pPr>
      <w:proofErr w:type="spellStart"/>
      <w:proofErr w:type="gramStart"/>
      <w:r>
        <w:rPr>
          <w:spacing w:val="-4"/>
        </w:rPr>
        <w:t>Sd</w:t>
      </w:r>
      <w:proofErr w:type="spellEnd"/>
      <w:proofErr w:type="gramEnd"/>
      <w:r>
        <w:rPr>
          <w:spacing w:val="-4"/>
        </w:rPr>
        <w:t>/-</w:t>
      </w:r>
    </w:p>
    <w:p w:rsidR="00E14A20" w:rsidRDefault="00E14A20">
      <w:pPr>
        <w:pStyle w:val="BodyText"/>
        <w:spacing w:line="530" w:lineRule="atLeast"/>
        <w:ind w:right="6296"/>
      </w:pPr>
      <w:proofErr w:type="spellStart"/>
      <w:r>
        <w:t>Purav</w:t>
      </w:r>
      <w:proofErr w:type="spellEnd"/>
      <w:r>
        <w:t xml:space="preserve"> </w:t>
      </w:r>
      <w:proofErr w:type="spellStart"/>
      <w:r>
        <w:t>Fozdar</w:t>
      </w:r>
      <w:proofErr w:type="spellEnd"/>
    </w:p>
    <w:p w:rsidR="00565B19" w:rsidRDefault="00252C0A">
      <w:pPr>
        <w:pStyle w:val="BodyText"/>
        <w:spacing w:before="8"/>
        <w:ind w:right="6818"/>
      </w:pPr>
      <w:r>
        <w:t>Place: Mumbai</w:t>
      </w:r>
    </w:p>
    <w:p w:rsidR="00565B19" w:rsidRDefault="00252C0A">
      <w:pPr>
        <w:pStyle w:val="BodyText"/>
      </w:pPr>
      <w:r>
        <w:t>Date:</w:t>
      </w:r>
      <w:r>
        <w:rPr>
          <w:spacing w:val="-9"/>
        </w:rPr>
        <w:t xml:space="preserve"> </w:t>
      </w:r>
      <w:r>
        <w:t>01-July-</w:t>
      </w:r>
      <w:r>
        <w:rPr>
          <w:spacing w:val="-4"/>
        </w:rPr>
        <w:t>2024</w:t>
      </w:r>
    </w:p>
    <w:sectPr w:rsidR="00565B19">
      <w:pgSz w:w="12240" w:h="15840"/>
      <w:pgMar w:top="1740" w:right="1440" w:bottom="280" w:left="144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C0A" w:rsidRDefault="00252C0A">
      <w:r>
        <w:separator/>
      </w:r>
    </w:p>
  </w:endnote>
  <w:endnote w:type="continuationSeparator" w:id="0">
    <w:p w:rsidR="00252C0A" w:rsidRDefault="0025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C0A" w:rsidRDefault="00252C0A">
      <w:r>
        <w:separator/>
      </w:r>
    </w:p>
  </w:footnote>
  <w:footnote w:type="continuationSeparator" w:id="0">
    <w:p w:rsidR="00252C0A" w:rsidRDefault="00252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DE0" w:rsidRPr="000C4DE0" w:rsidRDefault="000C4DE0" w:rsidP="000C4DE0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36"/>
        <w:szCs w:val="36"/>
        <w:u w:val="single"/>
      </w:rPr>
    </w:pPr>
    <w:r w:rsidRPr="000C4DE0">
      <w:rPr>
        <w:rFonts w:ascii="Times New Roman" w:eastAsia="Times New Roman" w:hAnsi="Times New Roman" w:cs="Times New Roman"/>
        <w:b/>
        <w:sz w:val="36"/>
        <w:szCs w:val="36"/>
        <w:u w:val="single"/>
      </w:rPr>
      <w:t>AXIOM SHARE BROKING PVT.  LTD.</w:t>
    </w:r>
  </w:p>
  <w:p w:rsidR="000C4DE0" w:rsidRPr="000C4DE0" w:rsidRDefault="000C4DE0" w:rsidP="000C4DE0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0C4DE0">
      <w:rPr>
        <w:rFonts w:ascii="Times New Roman" w:eastAsia="Times New Roman" w:hAnsi="Times New Roman" w:cs="Times New Roman"/>
        <w:b/>
        <w:sz w:val="24"/>
        <w:szCs w:val="24"/>
        <w:u w:val="single"/>
      </w:rPr>
      <w:t xml:space="preserve">Member: Bombay Stock Exchange Ltd. / National Stock Exchange Ltd. </w:t>
    </w:r>
    <w:r w:rsidRPr="000C4DE0">
      <w:rPr>
        <w:rFonts w:ascii="Times New Roman" w:eastAsia="Times New Roman" w:hAnsi="Times New Roman" w:cs="Times New Roman"/>
        <w:b/>
        <w:sz w:val="24"/>
        <w:szCs w:val="24"/>
        <w:u w:val="single"/>
      </w:rPr>
      <w:sym w:font="Wingdings" w:char="F06C"/>
    </w:r>
    <w:r w:rsidRPr="000C4DE0">
      <w:rPr>
        <w:rFonts w:ascii="Times New Roman" w:eastAsia="Times New Roman" w:hAnsi="Times New Roman" w:cs="Times New Roman"/>
        <w:b/>
        <w:sz w:val="24"/>
        <w:szCs w:val="24"/>
        <w:u w:val="single"/>
      </w:rPr>
      <w:t xml:space="preserve"> </w:t>
    </w:r>
    <w:proofErr w:type="gramStart"/>
    <w:r w:rsidRPr="000C4DE0">
      <w:rPr>
        <w:rFonts w:ascii="Times New Roman" w:eastAsia="Times New Roman" w:hAnsi="Times New Roman" w:cs="Times New Roman"/>
        <w:b/>
        <w:sz w:val="24"/>
        <w:szCs w:val="24"/>
        <w:u w:val="single"/>
      </w:rPr>
      <w:t>DP :</w:t>
    </w:r>
    <w:proofErr w:type="gramEnd"/>
    <w:r w:rsidRPr="000C4DE0">
      <w:rPr>
        <w:rFonts w:ascii="Times New Roman" w:eastAsia="Times New Roman" w:hAnsi="Times New Roman" w:cs="Times New Roman"/>
        <w:b/>
        <w:sz w:val="24"/>
        <w:szCs w:val="24"/>
        <w:u w:val="single"/>
      </w:rPr>
      <w:t xml:space="preserve"> CDSL</w:t>
    </w:r>
  </w:p>
  <w:p w:rsidR="000C4DE0" w:rsidRPr="000C4DE0" w:rsidRDefault="000C4DE0" w:rsidP="000C4DE0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20"/>
        <w:szCs w:val="20"/>
      </w:rPr>
    </w:pPr>
    <w:proofErr w:type="spellStart"/>
    <w:r w:rsidRPr="000C4DE0">
      <w:rPr>
        <w:rFonts w:ascii="Times New Roman" w:eastAsia="Times New Roman" w:hAnsi="Times New Roman" w:cs="Times New Roman"/>
        <w:b/>
        <w:sz w:val="20"/>
        <w:szCs w:val="20"/>
      </w:rPr>
      <w:t>Corp.Off</w:t>
    </w:r>
    <w:proofErr w:type="spellEnd"/>
    <w:r w:rsidRPr="000C4DE0">
      <w:rPr>
        <w:rFonts w:ascii="Times New Roman" w:eastAsia="Times New Roman" w:hAnsi="Times New Roman" w:cs="Times New Roman"/>
        <w:b/>
        <w:sz w:val="20"/>
        <w:szCs w:val="20"/>
      </w:rPr>
      <w:t xml:space="preserve">: 1305, A-Wing, Marathon </w:t>
    </w:r>
    <w:proofErr w:type="spellStart"/>
    <w:r w:rsidRPr="000C4DE0">
      <w:rPr>
        <w:rFonts w:ascii="Times New Roman" w:eastAsia="Times New Roman" w:hAnsi="Times New Roman" w:cs="Times New Roman"/>
        <w:b/>
        <w:sz w:val="20"/>
        <w:szCs w:val="20"/>
      </w:rPr>
      <w:t>Futurex</w:t>
    </w:r>
    <w:proofErr w:type="spellEnd"/>
    <w:r w:rsidRPr="000C4DE0">
      <w:rPr>
        <w:rFonts w:ascii="Times New Roman" w:eastAsia="Times New Roman" w:hAnsi="Times New Roman" w:cs="Times New Roman"/>
        <w:b/>
        <w:sz w:val="20"/>
        <w:szCs w:val="20"/>
      </w:rPr>
      <w:t xml:space="preserve">, Mafatlal Mills Compound, N.M. Joshi Marg, Lower </w:t>
    </w:r>
    <w:proofErr w:type="spellStart"/>
    <w:r w:rsidRPr="000C4DE0">
      <w:rPr>
        <w:rFonts w:ascii="Times New Roman" w:eastAsia="Times New Roman" w:hAnsi="Times New Roman" w:cs="Times New Roman"/>
        <w:b/>
        <w:sz w:val="20"/>
        <w:szCs w:val="20"/>
      </w:rPr>
      <w:t>Parel</w:t>
    </w:r>
    <w:proofErr w:type="spellEnd"/>
    <w:r w:rsidRPr="000C4DE0">
      <w:rPr>
        <w:rFonts w:ascii="Times New Roman" w:eastAsia="Times New Roman" w:hAnsi="Times New Roman" w:cs="Times New Roman"/>
        <w:b/>
        <w:sz w:val="20"/>
        <w:szCs w:val="20"/>
      </w:rPr>
      <w:t>,                         Mumbai- 400013. Tel No. +91-22-66661621/22/23/24</w:t>
    </w:r>
  </w:p>
  <w:p w:rsidR="000C4DE0" w:rsidRPr="000C4DE0" w:rsidRDefault="000C4DE0" w:rsidP="000C4DE0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20"/>
        <w:szCs w:val="20"/>
      </w:rPr>
    </w:pPr>
    <w:proofErr w:type="spellStart"/>
    <w:r w:rsidRPr="000C4DE0">
      <w:rPr>
        <w:rFonts w:ascii="Times New Roman" w:eastAsia="Times New Roman" w:hAnsi="Times New Roman" w:cs="Times New Roman"/>
        <w:b/>
        <w:sz w:val="20"/>
        <w:szCs w:val="20"/>
      </w:rPr>
      <w:t>Regd.Off</w:t>
    </w:r>
    <w:proofErr w:type="spellEnd"/>
    <w:r w:rsidRPr="000C4DE0">
      <w:rPr>
        <w:rFonts w:ascii="Times New Roman" w:eastAsia="Times New Roman" w:hAnsi="Times New Roman" w:cs="Times New Roman"/>
        <w:b/>
        <w:sz w:val="20"/>
        <w:szCs w:val="20"/>
      </w:rPr>
      <w:t>: 819/820, 8</w:t>
    </w:r>
    <w:r w:rsidRPr="000C4DE0">
      <w:rPr>
        <w:rFonts w:ascii="Times New Roman" w:eastAsia="Times New Roman" w:hAnsi="Times New Roman" w:cs="Times New Roman"/>
        <w:b/>
        <w:sz w:val="20"/>
        <w:szCs w:val="20"/>
        <w:vertAlign w:val="superscript"/>
      </w:rPr>
      <w:t>th</w:t>
    </w:r>
    <w:r w:rsidRPr="000C4DE0">
      <w:rPr>
        <w:rFonts w:ascii="Times New Roman" w:eastAsia="Times New Roman" w:hAnsi="Times New Roman" w:cs="Times New Roman"/>
        <w:b/>
        <w:sz w:val="20"/>
        <w:szCs w:val="20"/>
      </w:rPr>
      <w:t xml:space="preserve"> Floor, P.J. Towers, Stock Exchange </w:t>
    </w:r>
    <w:proofErr w:type="spellStart"/>
    <w:r w:rsidRPr="000C4DE0">
      <w:rPr>
        <w:rFonts w:ascii="Times New Roman" w:eastAsia="Times New Roman" w:hAnsi="Times New Roman" w:cs="Times New Roman"/>
        <w:b/>
        <w:sz w:val="20"/>
        <w:szCs w:val="20"/>
      </w:rPr>
      <w:t>Bldg</w:t>
    </w:r>
    <w:proofErr w:type="spellEnd"/>
    <w:r w:rsidRPr="000C4DE0">
      <w:rPr>
        <w:rFonts w:ascii="Times New Roman" w:eastAsia="Times New Roman" w:hAnsi="Times New Roman" w:cs="Times New Roman"/>
        <w:b/>
        <w:sz w:val="20"/>
        <w:szCs w:val="20"/>
      </w:rPr>
      <w:t>, M.S. Marg, Fort, Mumbai-400001.</w:t>
    </w:r>
  </w:p>
  <w:p w:rsidR="000C4DE0" w:rsidRPr="000C4DE0" w:rsidRDefault="000C4DE0" w:rsidP="000C4DE0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20"/>
        <w:szCs w:val="20"/>
      </w:rPr>
    </w:pPr>
    <w:r w:rsidRPr="000C4DE0">
      <w:rPr>
        <w:rFonts w:ascii="Times New Roman" w:eastAsia="Times New Roman" w:hAnsi="Times New Roman" w:cs="Times New Roman"/>
        <w:b/>
        <w:sz w:val="20"/>
        <w:szCs w:val="20"/>
      </w:rPr>
      <w:t xml:space="preserve">Email: </w:t>
    </w:r>
    <w:hyperlink r:id="rId1" w:history="1">
      <w:r w:rsidRPr="000C4DE0">
        <w:rPr>
          <w:rFonts w:ascii="Times New Roman" w:eastAsia="Times New Roman" w:hAnsi="Times New Roman" w:cs="Times New Roman"/>
          <w:b/>
          <w:color w:val="0000FF" w:themeColor="hyperlink"/>
          <w:sz w:val="20"/>
          <w:szCs w:val="20"/>
          <w:u w:val="single"/>
        </w:rPr>
        <w:t>axiom12212@gmail.com/</w:t>
      </w:r>
    </w:hyperlink>
    <w:r w:rsidRPr="000C4DE0">
      <w:rPr>
        <w:rFonts w:ascii="Times New Roman" w:eastAsia="Times New Roman" w:hAnsi="Times New Roman" w:cs="Times New Roman"/>
        <w:b/>
        <w:sz w:val="20"/>
        <w:szCs w:val="20"/>
      </w:rPr>
      <w:t xml:space="preserve"> </w:t>
    </w:r>
    <w:hyperlink r:id="rId2" w:history="1">
      <w:r w:rsidRPr="000C4DE0">
        <w:rPr>
          <w:rFonts w:ascii="Times New Roman" w:eastAsia="Times New Roman" w:hAnsi="Times New Roman" w:cs="Times New Roman"/>
          <w:b/>
          <w:color w:val="0000FF" w:themeColor="hyperlink"/>
          <w:sz w:val="20"/>
          <w:szCs w:val="20"/>
          <w:u w:val="single"/>
        </w:rPr>
        <w:t>axiomcompliance@gmail.com</w:t>
      </w:r>
    </w:hyperlink>
  </w:p>
  <w:p w:rsidR="000C4DE0" w:rsidRPr="000C4DE0" w:rsidRDefault="000C4DE0" w:rsidP="000C4DE0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24"/>
        <w:szCs w:val="24"/>
        <w:u w:val="single"/>
      </w:rPr>
    </w:pPr>
    <w:r w:rsidRPr="000C4DE0">
      <w:rPr>
        <w:rFonts w:ascii="Times New Roman" w:eastAsia="Times New Roman" w:hAnsi="Times New Roman" w:cs="Times New Roman"/>
        <w:b/>
        <w:sz w:val="24"/>
        <w:szCs w:val="24"/>
        <w:u w:val="single"/>
      </w:rPr>
      <w:t>CIN: U67120MH2004PTC147145</w:t>
    </w:r>
  </w:p>
  <w:p w:rsidR="000C4DE0" w:rsidRPr="000C4DE0" w:rsidRDefault="000C4DE0" w:rsidP="000C4DE0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24"/>
        <w:szCs w:val="24"/>
        <w:u w:val="single"/>
      </w:rPr>
    </w:pPr>
  </w:p>
  <w:p w:rsidR="00565B19" w:rsidRDefault="00565B19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0605C"/>
    <w:multiLevelType w:val="hybridMultilevel"/>
    <w:tmpl w:val="00CAAAC8"/>
    <w:lvl w:ilvl="0" w:tplc="29F4E73C">
      <w:start w:val="4"/>
      <w:numFmt w:val="decimal"/>
      <w:lvlText w:val="%1."/>
      <w:lvlJc w:val="left"/>
      <w:pPr>
        <w:ind w:left="217" w:hanging="21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88"/>
        <w:sz w:val="22"/>
        <w:szCs w:val="22"/>
        <w:u w:val="single" w:color="000000"/>
        <w:lang w:val="en-US" w:eastAsia="en-US" w:bidi="ar-SA"/>
      </w:rPr>
    </w:lvl>
    <w:lvl w:ilvl="1" w:tplc="70E8DF36">
      <w:start w:val="1"/>
      <w:numFmt w:val="decimal"/>
      <w:lvlText w:val="%2."/>
      <w:lvlJc w:val="left"/>
      <w:pPr>
        <w:ind w:left="7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A9140934">
      <w:numFmt w:val="bullet"/>
      <w:lvlText w:val="•"/>
      <w:lvlJc w:val="left"/>
      <w:pPr>
        <w:ind w:left="1680" w:hanging="360"/>
      </w:pPr>
      <w:rPr>
        <w:rFonts w:hint="default"/>
        <w:lang w:val="en-US" w:eastAsia="en-US" w:bidi="ar-SA"/>
      </w:rPr>
    </w:lvl>
    <w:lvl w:ilvl="3" w:tplc="7E9CB480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ar-SA"/>
      </w:rPr>
    </w:lvl>
    <w:lvl w:ilvl="4" w:tplc="39DAEBBC">
      <w:numFmt w:val="bullet"/>
      <w:lvlText w:val="•"/>
      <w:lvlJc w:val="left"/>
      <w:pPr>
        <w:ind w:left="3600" w:hanging="360"/>
      </w:pPr>
      <w:rPr>
        <w:rFonts w:hint="default"/>
        <w:lang w:val="en-US" w:eastAsia="en-US" w:bidi="ar-SA"/>
      </w:rPr>
    </w:lvl>
    <w:lvl w:ilvl="5" w:tplc="375E6BA2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6" w:tplc="A0464F7A">
      <w:numFmt w:val="bullet"/>
      <w:lvlText w:val="•"/>
      <w:lvlJc w:val="left"/>
      <w:pPr>
        <w:ind w:left="5520" w:hanging="360"/>
      </w:pPr>
      <w:rPr>
        <w:rFonts w:hint="default"/>
        <w:lang w:val="en-US" w:eastAsia="en-US" w:bidi="ar-SA"/>
      </w:rPr>
    </w:lvl>
    <w:lvl w:ilvl="7" w:tplc="87623E72">
      <w:numFmt w:val="bullet"/>
      <w:lvlText w:val="•"/>
      <w:lvlJc w:val="left"/>
      <w:pPr>
        <w:ind w:left="6480" w:hanging="360"/>
      </w:pPr>
      <w:rPr>
        <w:rFonts w:hint="default"/>
        <w:lang w:val="en-US" w:eastAsia="en-US" w:bidi="ar-SA"/>
      </w:rPr>
    </w:lvl>
    <w:lvl w:ilvl="8" w:tplc="0082BEDA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ar-SA"/>
      </w:rPr>
    </w:lvl>
  </w:abstractNum>
  <w:abstractNum w:abstractNumId="1">
    <w:nsid w:val="04991ABC"/>
    <w:multiLevelType w:val="hybridMultilevel"/>
    <w:tmpl w:val="BAEA49C0"/>
    <w:lvl w:ilvl="0" w:tplc="AF20DB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0B80E9C">
      <w:numFmt w:val="bullet"/>
      <w:lvlText w:val="•"/>
      <w:lvlJc w:val="left"/>
      <w:pPr>
        <w:ind w:left="1584" w:hanging="360"/>
      </w:pPr>
      <w:rPr>
        <w:rFonts w:hint="default"/>
        <w:lang w:val="en-US" w:eastAsia="en-US" w:bidi="ar-SA"/>
      </w:rPr>
    </w:lvl>
    <w:lvl w:ilvl="2" w:tplc="CA20A8AA">
      <w:numFmt w:val="bullet"/>
      <w:lvlText w:val="•"/>
      <w:lvlJc w:val="left"/>
      <w:pPr>
        <w:ind w:left="2448" w:hanging="360"/>
      </w:pPr>
      <w:rPr>
        <w:rFonts w:hint="default"/>
        <w:lang w:val="en-US" w:eastAsia="en-US" w:bidi="ar-SA"/>
      </w:rPr>
    </w:lvl>
    <w:lvl w:ilvl="3" w:tplc="0DFCC544">
      <w:numFmt w:val="bullet"/>
      <w:lvlText w:val="•"/>
      <w:lvlJc w:val="left"/>
      <w:pPr>
        <w:ind w:left="3312" w:hanging="360"/>
      </w:pPr>
      <w:rPr>
        <w:rFonts w:hint="default"/>
        <w:lang w:val="en-US" w:eastAsia="en-US" w:bidi="ar-SA"/>
      </w:rPr>
    </w:lvl>
    <w:lvl w:ilvl="4" w:tplc="539ABDD4">
      <w:numFmt w:val="bullet"/>
      <w:lvlText w:val="•"/>
      <w:lvlJc w:val="left"/>
      <w:pPr>
        <w:ind w:left="4176" w:hanging="360"/>
      </w:pPr>
      <w:rPr>
        <w:rFonts w:hint="default"/>
        <w:lang w:val="en-US" w:eastAsia="en-US" w:bidi="ar-SA"/>
      </w:rPr>
    </w:lvl>
    <w:lvl w:ilvl="5" w:tplc="1C38193A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6" w:tplc="4130244A">
      <w:numFmt w:val="bullet"/>
      <w:lvlText w:val="•"/>
      <w:lvlJc w:val="left"/>
      <w:pPr>
        <w:ind w:left="5904" w:hanging="360"/>
      </w:pPr>
      <w:rPr>
        <w:rFonts w:hint="default"/>
        <w:lang w:val="en-US" w:eastAsia="en-US" w:bidi="ar-SA"/>
      </w:rPr>
    </w:lvl>
    <w:lvl w:ilvl="7" w:tplc="B3E85220">
      <w:numFmt w:val="bullet"/>
      <w:lvlText w:val="•"/>
      <w:lvlJc w:val="left"/>
      <w:pPr>
        <w:ind w:left="6768" w:hanging="360"/>
      </w:pPr>
      <w:rPr>
        <w:rFonts w:hint="default"/>
        <w:lang w:val="en-US" w:eastAsia="en-US" w:bidi="ar-SA"/>
      </w:rPr>
    </w:lvl>
    <w:lvl w:ilvl="8" w:tplc="EECC9760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ar-SA"/>
      </w:rPr>
    </w:lvl>
  </w:abstractNum>
  <w:abstractNum w:abstractNumId="2">
    <w:nsid w:val="1CC278CD"/>
    <w:multiLevelType w:val="hybridMultilevel"/>
    <w:tmpl w:val="37E23E74"/>
    <w:lvl w:ilvl="0" w:tplc="6828535A">
      <w:start w:val="1"/>
      <w:numFmt w:val="decimal"/>
      <w:lvlText w:val="%1."/>
      <w:lvlJc w:val="left"/>
      <w:pPr>
        <w:ind w:left="217" w:hanging="21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88"/>
        <w:sz w:val="22"/>
        <w:szCs w:val="22"/>
        <w:u w:val="single" w:color="000000"/>
        <w:lang w:val="en-US" w:eastAsia="en-US" w:bidi="ar-SA"/>
      </w:rPr>
    </w:lvl>
    <w:lvl w:ilvl="1" w:tplc="0B4E1B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C15453CC">
      <w:numFmt w:val="bullet"/>
      <w:lvlText w:val="•"/>
      <w:lvlJc w:val="left"/>
      <w:pPr>
        <w:ind w:left="1680" w:hanging="360"/>
      </w:pPr>
      <w:rPr>
        <w:rFonts w:hint="default"/>
        <w:lang w:val="en-US" w:eastAsia="en-US" w:bidi="ar-SA"/>
      </w:rPr>
    </w:lvl>
    <w:lvl w:ilvl="3" w:tplc="1F62644C">
      <w:numFmt w:val="bullet"/>
      <w:lvlText w:val="•"/>
      <w:lvlJc w:val="left"/>
      <w:pPr>
        <w:ind w:left="2640" w:hanging="360"/>
      </w:pPr>
      <w:rPr>
        <w:rFonts w:hint="default"/>
        <w:lang w:val="en-US" w:eastAsia="en-US" w:bidi="ar-SA"/>
      </w:rPr>
    </w:lvl>
    <w:lvl w:ilvl="4" w:tplc="205A7F64">
      <w:numFmt w:val="bullet"/>
      <w:lvlText w:val="•"/>
      <w:lvlJc w:val="left"/>
      <w:pPr>
        <w:ind w:left="3600" w:hanging="360"/>
      </w:pPr>
      <w:rPr>
        <w:rFonts w:hint="default"/>
        <w:lang w:val="en-US" w:eastAsia="en-US" w:bidi="ar-SA"/>
      </w:rPr>
    </w:lvl>
    <w:lvl w:ilvl="5" w:tplc="BBB0D7FA">
      <w:numFmt w:val="bullet"/>
      <w:lvlText w:val="•"/>
      <w:lvlJc w:val="left"/>
      <w:pPr>
        <w:ind w:left="4560" w:hanging="360"/>
      </w:pPr>
      <w:rPr>
        <w:rFonts w:hint="default"/>
        <w:lang w:val="en-US" w:eastAsia="en-US" w:bidi="ar-SA"/>
      </w:rPr>
    </w:lvl>
    <w:lvl w:ilvl="6" w:tplc="4050D228">
      <w:numFmt w:val="bullet"/>
      <w:lvlText w:val="•"/>
      <w:lvlJc w:val="left"/>
      <w:pPr>
        <w:ind w:left="5520" w:hanging="360"/>
      </w:pPr>
      <w:rPr>
        <w:rFonts w:hint="default"/>
        <w:lang w:val="en-US" w:eastAsia="en-US" w:bidi="ar-SA"/>
      </w:rPr>
    </w:lvl>
    <w:lvl w:ilvl="7" w:tplc="CC64C078">
      <w:numFmt w:val="bullet"/>
      <w:lvlText w:val="•"/>
      <w:lvlJc w:val="left"/>
      <w:pPr>
        <w:ind w:left="6480" w:hanging="360"/>
      </w:pPr>
      <w:rPr>
        <w:rFonts w:hint="default"/>
        <w:lang w:val="en-US" w:eastAsia="en-US" w:bidi="ar-SA"/>
      </w:rPr>
    </w:lvl>
    <w:lvl w:ilvl="8" w:tplc="3238EF3A">
      <w:numFmt w:val="bullet"/>
      <w:lvlText w:val="•"/>
      <w:lvlJc w:val="left"/>
      <w:pPr>
        <w:ind w:left="744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5B19"/>
    <w:rsid w:val="00007F13"/>
    <w:rsid w:val="000C4DE0"/>
    <w:rsid w:val="00252C0A"/>
    <w:rsid w:val="003C35EE"/>
    <w:rsid w:val="00565B19"/>
    <w:rsid w:val="00E1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527500-D8B7-424D-975D-C56A0EAA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jc w:val="center"/>
    </w:pPr>
    <w:rPr>
      <w:b/>
      <w:bCs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167" w:hanging="167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C4D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DE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C4D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DE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xiomcompliance@gmail.com" TargetMode="External"/><Relationship Id="rId1" Type="http://schemas.openxmlformats.org/officeDocument/2006/relationships/hyperlink" Target="mailto:axiom12212@gmai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- 2024.07.01 BBPL Risk Management Policy Version 4.00.docx</vt:lpstr>
    </vt:vector>
  </TitlesOfParts>
  <Company/>
  <LinksUpToDate>false</LinksUpToDate>
  <CharactersWithSpaces>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- 2024.07.01 BBPL Risk Management Policy Version 4.00.docx</dc:title>
  <cp:lastModifiedBy>Axiom Share</cp:lastModifiedBy>
  <cp:revision>4</cp:revision>
  <dcterms:created xsi:type="dcterms:W3CDTF">2025-05-02T09:17:00Z</dcterms:created>
  <dcterms:modified xsi:type="dcterms:W3CDTF">2025-05-03T05:49:00Z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2024-07-02T00:00:00Z</vt:filetime>
  </property>
  <property fmtid="{D5CDD505-2E9C-101B-9397-08002B2CF9AE}" pid="3" name="LastSaved">
    <vt:filetime>2025-05-02T00:00:00Z</vt:filetime>
  </property>
  <property fmtid="{D5CDD505-2E9C-101B-9397-08002B2CF9AE}" pid="4" name="Producer">
    <vt:lpwstr>Microsoft: Print To PDF</vt:lpwstr>
  </property>
</Properties>
</file>